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A4" w:rsidRPr="00F15DB7" w:rsidRDefault="003668A4" w:rsidP="003668A4">
      <w:pPr>
        <w:shd w:val="clear" w:color="auto" w:fill="FFFFFF"/>
        <w:autoSpaceDE w:val="0"/>
        <w:autoSpaceDN w:val="0"/>
        <w:adjustRightInd w:val="0"/>
        <w:ind w:firstLine="709"/>
        <w:jc w:val="center"/>
        <w:rPr>
          <w:color w:val="000000"/>
          <w:lang w:val="kk-KZ"/>
        </w:rPr>
      </w:pPr>
      <w:r>
        <w:rPr>
          <w:color w:val="000000"/>
          <w:lang w:val="kk-KZ"/>
        </w:rPr>
        <w:t>2</w:t>
      </w:r>
      <w:r w:rsidRPr="00F15DB7">
        <w:rPr>
          <w:color w:val="000000"/>
          <w:lang w:val="kk-KZ"/>
        </w:rPr>
        <w:t xml:space="preserve"> </w:t>
      </w:r>
      <w:r w:rsidRPr="00C017A2">
        <w:rPr>
          <w:lang w:val="kk-KZ"/>
        </w:rPr>
        <w:t>ҚҰРЫЛЫС ЖӘНЕ ЖИНАҚТАУ ЖҰМЫСТАРЫНЫҢ СМЕТАЛЫҚ ҚҰНЫН АНЫҚТАУ</w:t>
      </w:r>
      <w:r w:rsidRPr="00C017A2">
        <w:rPr>
          <w:color w:val="000000"/>
          <w:lang w:val="kk-KZ"/>
        </w:rPr>
        <w:t xml:space="preserve"> </w:t>
      </w:r>
    </w:p>
    <w:p w:rsidR="003668A4" w:rsidRPr="00F15DB7" w:rsidRDefault="003668A4" w:rsidP="003668A4">
      <w:pPr>
        <w:shd w:val="clear" w:color="auto" w:fill="FFFFFF"/>
        <w:autoSpaceDE w:val="0"/>
        <w:autoSpaceDN w:val="0"/>
        <w:adjustRightInd w:val="0"/>
        <w:ind w:firstLine="709"/>
        <w:jc w:val="center"/>
        <w:rPr>
          <w:lang w:val="kk-KZ"/>
        </w:rPr>
      </w:pPr>
    </w:p>
    <w:p w:rsidR="003668A4" w:rsidRPr="00F15DB7" w:rsidRDefault="003668A4" w:rsidP="003668A4">
      <w:pPr>
        <w:shd w:val="clear" w:color="auto" w:fill="FFFFFF"/>
        <w:autoSpaceDE w:val="0"/>
        <w:autoSpaceDN w:val="0"/>
        <w:adjustRightInd w:val="0"/>
        <w:ind w:firstLine="709"/>
        <w:jc w:val="center"/>
        <w:rPr>
          <w:lang w:val="kk-KZ"/>
        </w:rPr>
      </w:pPr>
      <w:r>
        <w:rPr>
          <w:b/>
          <w:bCs/>
          <w:color w:val="000000"/>
          <w:lang w:val="kk-KZ"/>
        </w:rPr>
        <w:t>2</w:t>
      </w:r>
      <w:r w:rsidRPr="00F15DB7">
        <w:rPr>
          <w:b/>
          <w:bCs/>
          <w:color w:val="000000"/>
          <w:lang w:val="kk-KZ"/>
        </w:rPr>
        <w:t xml:space="preserve">.1 </w:t>
      </w:r>
      <w:r>
        <w:rPr>
          <w:b/>
          <w:bCs/>
          <w:color w:val="000000"/>
          <w:lang w:val="kk-KZ"/>
        </w:rPr>
        <w:t>Жұмыс құнын анықтау тәртібі</w:t>
      </w:r>
    </w:p>
    <w:p w:rsidR="003668A4" w:rsidRPr="00F15DB7" w:rsidRDefault="003668A4" w:rsidP="003668A4">
      <w:pPr>
        <w:shd w:val="clear" w:color="auto" w:fill="FFFFFF"/>
        <w:autoSpaceDE w:val="0"/>
        <w:autoSpaceDN w:val="0"/>
        <w:adjustRightInd w:val="0"/>
        <w:ind w:firstLine="709"/>
        <w:jc w:val="both"/>
        <w:rPr>
          <w:color w:val="000000"/>
          <w:lang w:val="kk-KZ"/>
        </w:rPr>
      </w:pP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Құрылыс жұмыстарының сметалық құны 2002 жылдың 1 қаңтарынан қолданылатын сметалық нормалар (мөлшерлер) меы бағаламалар негізінде «Жергілікті смета» атты №4 нысанда анықталады</w:t>
      </w:r>
      <w:r>
        <w:rPr>
          <w:color w:val="000000"/>
          <w:lang w:val="kk-KZ"/>
        </w:rPr>
        <w:t xml:space="preserve"> (қосымшаны қараңыз)</w:t>
      </w:r>
      <w:r w:rsidRPr="00F15DB7">
        <w:rPr>
          <w:color w:val="000000"/>
          <w:lang w:val="kk-KZ"/>
        </w:rPr>
        <w:t>.</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Бағалама - бұл кез-келген жұмыстар түрінің өлшем бірлігіне кететін тікелей шығындар. Сметалық нормалар мен бағаламалар ҚР ҚН 8.02-05-2002 «Құрылыс жұмыстарына арналған сметалық нормалар мен бағаламалардың жинақтарында» (СНжБ-2001) берілген.</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Осындай жинақтардан 49 бар. Әрбір жинакта техникалык бөлік пен кестелерде біріктірілген ресурстар шығынының сметалық нормалары жэне құрастырмалар мен жұмыстардың өлшегішіне арналган бағаламалар бар. Осындай жинақтар тізімі «Құрылыс жұмыстарына арналған сметалық нормалар мен бағаламаларды колдану жөніндегі жалпы ережелерде» көрсетілген. СНжБ-2001 кестелерінде шифр, жұмыстар түрінің атауы, жұмыстар кұрамы, өлшегіш, ресурстар шығыны нормаларының сандық көрсеткіштері жэне кұндай көрсеткіштері бар. СНжБ-2001 шифрі жинақ нөмірінен, кестенің осы жинақтагы реттеу нөмірінен және норманың осы кестедегі реттеу нөмірінен тұрады.</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Тікелей шығындар материалдардың, бұйымдардың жэне құрастырмаладың құнын, жұмысшылардың негізгі жалақысын, құрылыс машиналарын пайдалану құнын ескереді.</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xml:space="preserve">Жұмыстар мен құрастырмалар түрлерінің атауларында негізгі сипаттамалық белгілер бар. «Дейін» сөзімен бірге көрсетілген кейбір сипаттамалардың параметрлерін (ұзындығы, биіктігі, ауданы, салмағы және т.б.) қоса алғанда, ал «бастап» деген сөзбеы бірге </w:t>
      </w:r>
      <w:r w:rsidRPr="00F15DB7">
        <w:rPr>
          <w:i/>
          <w:iCs/>
          <w:color w:val="000000"/>
          <w:lang w:val="kk-KZ"/>
        </w:rPr>
        <w:t xml:space="preserve">- </w:t>
      </w:r>
      <w:r w:rsidRPr="00F15DB7">
        <w:rPr>
          <w:color w:val="000000"/>
          <w:lang w:val="kk-KZ"/>
        </w:rPr>
        <w:t>көрсетілген шаманы шығару, яғни жоғары деп түсіну керек.</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белгіленген материалдык ресурстар жалпы (нақты маркасы, типті мөлшері жэне басқа сипаттамалары жоқ) болып табылады. Сметалык құжаттаманы жасаған кезде олар шығындарын түзетусіз айқындалу керек. Олар материалдар құнында да ескерілмеген. Осы материалдық ресурстар жергілікті смета (сметалық есеп) жасаған кезде қосымша есептелінеді.</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Жергілікті сметалар құрамындагы материалдық ресурстардың кұны материалдардың, бұйымдардың жэне құрастырмалардың нормативтік кажеттілігі туралы мәліметтер (физикалык өлшем бірлікте: м , м , т жэне т.б.) жэне материалдық ресурс түрінің бағасы арқылы анықталады. Құрамында   материалдык   ресурстардың   құны   ескерілмеген   сметалық бағаламаларды қолданғанда, жогарыда көрсетілгендей, есеп жергілікті сметаның бөлек жолында жүргізіледі.</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Жүмысшылардың негізгі жалақысына қүрылыс және жинақтау жүмыстарымен тікелей айналысатын қүрылысшы-жүмысшылар мен жинақтаушылардың еңбек акысы жатады. Жергілікті сметадағы гікелей шығындар күрамындағы жалақы қүрылысшы-жүмысшылар мен жинақтаушылар жэне қүрылыс машиналар мен механизмдерін баскаратын жүмысшылар үшін бөлек есептелінеді.</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Жергілікті сметадағы тікелей шығындар тапсырмадагы жүмыстар көлемін сметалык нормалар мен бағаламалар жинақтарында берілген бірлік бағаламаларына көбейтумен анықталады. Тікелей шығындарды анықтауда қолданылатын сметалық нормативтер қүрылыс жоспарланатын ауданның жағдайларына сәйкес кабылдануы керек. Жергілікті смета тарауы (жүмыстар түрлері) немесе смета бойынша тікелей шығындар жиыны қүрылыс жүмысшыларының негізгі жалакысын, кұрылыс машиналарын пайдалану жөніндегі шыгындарды және материалдарға, бұйымдарға, кұрастырмаларға кететін шығындарды крсу аркылы анықталады.</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xml:space="preserve">Құрылысшы-жұмысшылар мен машиыистердің жалақысына жұмыстар түріне сәйкес бекітілген мөлшердегі үстеме шыгындар есептелінеді. Үстеме шығындар </w:t>
      </w:r>
      <w:r w:rsidRPr="00F15DB7">
        <w:rPr>
          <w:color w:val="000000"/>
          <w:lang w:val="kk-KZ"/>
        </w:rPr>
        <w:lastRenderedPageBreak/>
        <w:t>нормалары ҚР Қ</w:t>
      </w:r>
      <w:r>
        <w:rPr>
          <w:color w:val="000000"/>
          <w:lang w:val="kk-KZ"/>
        </w:rPr>
        <w:t>Н</w:t>
      </w:r>
      <w:r w:rsidRPr="00F15DB7">
        <w:rPr>
          <w:color w:val="000000"/>
          <w:lang w:val="kk-KZ"/>
        </w:rPr>
        <w:t xml:space="preserve"> 8.02-02-2002 «Қазақстан Республикасында кұрылыстың сметалык құнын анықтау тәртібінде» көрсетілген.</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Тікелей жэне үстеме шығындар жиынына осы шығындардан 6% шамасындағы нормаланбайтын және болжалмаған шығындар есептелінеді.</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Үстеме шығындар - бұл өндірістің жалпы жағдайларын жасауға, оған қызмет көрсетуге, оны ұйымдастыруға жэне басқаруға байланысты кұрылыс-жинақтау ұйымының шығындарын толтыруға арналган ақшалай қаражат сомалары.</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Сметалық жалакы еңбек ақының келесі түрлерінен тұрады:</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жұмысшылардың негізгі жалақысынан;</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машиналар мен механизмдерге кызмет көрсететін жұмысшылардың жалакысынан;</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  үстеме шыгындар құрамындағы жалақыдан (үстеме шыгындардан 15%).</w:t>
      </w:r>
    </w:p>
    <w:p w:rsidR="003668A4" w:rsidRPr="00F15DB7" w:rsidRDefault="003668A4" w:rsidP="003668A4">
      <w:pPr>
        <w:shd w:val="clear" w:color="auto" w:fill="FFFFFF"/>
        <w:autoSpaceDE w:val="0"/>
        <w:autoSpaceDN w:val="0"/>
        <w:adjustRightInd w:val="0"/>
        <w:ind w:firstLine="709"/>
        <w:jc w:val="both"/>
        <w:rPr>
          <w:lang w:val="kk-KZ"/>
        </w:rPr>
      </w:pPr>
      <w:r w:rsidRPr="00F15DB7">
        <w:rPr>
          <w:color w:val="000000"/>
          <w:lang w:val="kk-KZ"/>
        </w:rPr>
        <w:t>Нормативті еңбек сыйымдылығының қүрамына құрылысшы-жұмысшылардың, жинақтаушылардың, машинистердің еңбек шығындары, сонымен қатар үстеме шығындарға сәйкес еңбек шығындары жатады. Соңғылар үстеме шығындарды 100 бөлу арқылы шығатын шамадан 5% мөлшерінде анықталады. Құрылыс жэне жинактау жұмыстары бойынша үстеме шығындар нормативтері (әлеуметтік салықты ескергенде) кұрылысшы-жұмысшылар мен механизаторлардың еңбек акы қорынан пайызбен бекітілген.</w:t>
      </w:r>
    </w:p>
    <w:p w:rsidR="003668A4" w:rsidRPr="00F15DB7" w:rsidRDefault="003668A4" w:rsidP="003668A4">
      <w:pPr>
        <w:shd w:val="clear" w:color="auto" w:fill="FFFFFF"/>
        <w:autoSpaceDE w:val="0"/>
        <w:autoSpaceDN w:val="0"/>
        <w:adjustRightInd w:val="0"/>
        <w:ind w:firstLine="709"/>
        <w:jc w:val="both"/>
        <w:rPr>
          <w:color w:val="000000"/>
          <w:lang w:val="kk-KZ"/>
        </w:rPr>
      </w:pPr>
    </w:p>
    <w:p w:rsidR="003668A4" w:rsidRPr="00C017A2" w:rsidRDefault="003668A4" w:rsidP="003668A4">
      <w:pPr>
        <w:ind w:firstLine="720"/>
        <w:jc w:val="center"/>
        <w:rPr>
          <w:b/>
          <w:lang w:val="kk-KZ"/>
        </w:rPr>
      </w:pPr>
      <w:r w:rsidRPr="00020B09">
        <w:rPr>
          <w:b/>
          <w:lang w:val="kk-KZ"/>
        </w:rPr>
        <w:t xml:space="preserve">2.2 </w:t>
      </w:r>
      <w:r>
        <w:rPr>
          <w:b/>
          <w:lang w:val="kk-KZ"/>
        </w:rPr>
        <w:t>Тапсырмалар</w:t>
      </w:r>
    </w:p>
    <w:p w:rsidR="003668A4" w:rsidRPr="00020B09" w:rsidRDefault="003668A4" w:rsidP="003668A4">
      <w:pPr>
        <w:ind w:firstLine="720"/>
        <w:jc w:val="center"/>
        <w:rPr>
          <w:b/>
          <w:lang w:val="kk-KZ"/>
        </w:rPr>
      </w:pPr>
    </w:p>
    <w:p w:rsidR="003668A4" w:rsidRPr="007B2932" w:rsidRDefault="003668A4" w:rsidP="003668A4">
      <w:pPr>
        <w:ind w:firstLine="851"/>
        <w:jc w:val="both"/>
        <w:rPr>
          <w:sz w:val="28"/>
          <w:lang w:val="kk-KZ"/>
        </w:rPr>
      </w:pPr>
      <w:r w:rsidRPr="00020B09">
        <w:rPr>
          <w:lang w:val="kk-KZ"/>
        </w:rPr>
        <w:t xml:space="preserve">2.2.1 </w:t>
      </w:r>
      <w:r>
        <w:rPr>
          <w:lang w:val="kk-KZ"/>
        </w:rPr>
        <w:t>Құрылыс жұмыстарының құнын анықта. Ғимарарт көлемі</w:t>
      </w:r>
      <w:r w:rsidRPr="00020B09">
        <w:rPr>
          <w:lang w:val="kk-KZ"/>
        </w:rPr>
        <w:t xml:space="preserve"> – </w:t>
      </w:r>
      <w:smartTag w:uri="urn:schemas-microsoft-com:office:smarttags" w:element="metricconverter">
        <w:smartTagPr>
          <w:attr w:name="ProductID" w:val="5000 м2"/>
        </w:smartTagPr>
        <w:r w:rsidRPr="00020B09">
          <w:rPr>
            <w:lang w:val="kk-KZ"/>
          </w:rPr>
          <w:t>5000 м2</w:t>
        </w:r>
      </w:smartTag>
      <w:r w:rsidRPr="00020B09">
        <w:rPr>
          <w:lang w:val="kk-KZ"/>
        </w:rPr>
        <w:t xml:space="preserve">.  </w:t>
      </w:r>
      <w:r>
        <w:rPr>
          <w:lang w:val="kk-KZ"/>
        </w:rPr>
        <w:t>Көлемдер туралы мәліметтер кесте 4 берілген.</w:t>
      </w:r>
    </w:p>
    <w:p w:rsidR="003668A4" w:rsidRPr="00020B09" w:rsidRDefault="003668A4" w:rsidP="003668A4">
      <w:pPr>
        <w:ind w:firstLine="851"/>
        <w:jc w:val="both"/>
        <w:rPr>
          <w:sz w:val="28"/>
          <w:lang w:val="kk-KZ"/>
        </w:rPr>
      </w:pPr>
    </w:p>
    <w:p w:rsidR="003668A4" w:rsidRPr="00020B09" w:rsidRDefault="003668A4" w:rsidP="003668A4">
      <w:pPr>
        <w:jc w:val="both"/>
        <w:rPr>
          <w:lang w:val="kk-KZ"/>
        </w:rPr>
      </w:pPr>
      <w:r>
        <w:rPr>
          <w:lang w:val="kk-KZ"/>
        </w:rPr>
        <w:t xml:space="preserve">Кесте </w:t>
      </w:r>
      <w:r w:rsidRPr="00020B09">
        <w:rPr>
          <w:lang w:val="kk-KZ"/>
        </w:rPr>
        <w:t xml:space="preserve">4 – </w:t>
      </w:r>
      <w:r>
        <w:rPr>
          <w:lang w:val="kk-KZ"/>
        </w:rPr>
        <w:t>Құрылыс жұмысының көлемдері туралы мәліметтер</w:t>
      </w:r>
    </w:p>
    <w:p w:rsidR="003668A4" w:rsidRPr="00020B09" w:rsidRDefault="003668A4" w:rsidP="003668A4">
      <w:pPr>
        <w:ind w:firstLine="851"/>
        <w:jc w:val="both"/>
        <w:rPr>
          <w:lang w:val="kk-KZ"/>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6"/>
        <w:gridCol w:w="1563"/>
        <w:gridCol w:w="1306"/>
      </w:tblGrid>
      <w:tr w:rsidR="003668A4" w:rsidRPr="0094633F" w:rsidTr="00585F35">
        <w:tblPrEx>
          <w:tblCellMar>
            <w:top w:w="0" w:type="dxa"/>
            <w:bottom w:w="0" w:type="dxa"/>
          </w:tblCellMar>
        </w:tblPrEx>
        <w:trPr>
          <w:trHeight w:val="528"/>
        </w:trPr>
        <w:tc>
          <w:tcPr>
            <w:tcW w:w="6696" w:type="dxa"/>
            <w:vAlign w:val="center"/>
          </w:tcPr>
          <w:p w:rsidR="003668A4" w:rsidRPr="007B2932" w:rsidRDefault="003668A4" w:rsidP="00585F35">
            <w:pPr>
              <w:jc w:val="center"/>
              <w:rPr>
                <w:lang w:val="kk-KZ"/>
              </w:rPr>
            </w:pPr>
            <w:r>
              <w:rPr>
                <w:lang w:val="kk-KZ"/>
              </w:rPr>
              <w:t>Жұмыс атаулары</w:t>
            </w:r>
          </w:p>
        </w:tc>
        <w:tc>
          <w:tcPr>
            <w:tcW w:w="1563" w:type="dxa"/>
          </w:tcPr>
          <w:p w:rsidR="003668A4" w:rsidRPr="007B2932" w:rsidRDefault="003668A4" w:rsidP="00585F35">
            <w:pPr>
              <w:jc w:val="center"/>
              <w:rPr>
                <w:lang w:val="kk-KZ"/>
              </w:rPr>
            </w:pPr>
            <w:r>
              <w:rPr>
                <w:lang w:val="kk-KZ"/>
              </w:rPr>
              <w:t>Өлшем бірлік</w:t>
            </w:r>
          </w:p>
        </w:tc>
        <w:tc>
          <w:tcPr>
            <w:tcW w:w="1306" w:type="dxa"/>
          </w:tcPr>
          <w:p w:rsidR="003668A4" w:rsidRPr="007B2932" w:rsidRDefault="003668A4" w:rsidP="00585F35">
            <w:pPr>
              <w:jc w:val="center"/>
              <w:rPr>
                <w:lang w:val="kk-KZ"/>
              </w:rPr>
            </w:pPr>
            <w:r>
              <w:rPr>
                <w:lang w:val="kk-KZ"/>
              </w:rPr>
              <w:t>Жұмыс көлемі</w:t>
            </w:r>
          </w:p>
        </w:tc>
      </w:tr>
      <w:tr w:rsidR="003668A4" w:rsidRPr="0094633F" w:rsidTr="00585F35">
        <w:tblPrEx>
          <w:tblCellMar>
            <w:top w:w="0" w:type="dxa"/>
            <w:bottom w:w="0" w:type="dxa"/>
          </w:tblCellMar>
        </w:tblPrEx>
        <w:trPr>
          <w:trHeight w:val="140"/>
        </w:trPr>
        <w:tc>
          <w:tcPr>
            <w:tcW w:w="6696" w:type="dxa"/>
            <w:vAlign w:val="center"/>
          </w:tcPr>
          <w:p w:rsidR="003668A4" w:rsidRPr="0094633F" w:rsidRDefault="003668A4" w:rsidP="00585F35">
            <w:r>
              <w:rPr>
                <w:lang w:val="kk-KZ"/>
              </w:rPr>
              <w:t xml:space="preserve">Салмағы 3,6 тонна темір бетонды колоннаны орнату </w:t>
            </w:r>
          </w:p>
        </w:tc>
        <w:tc>
          <w:tcPr>
            <w:tcW w:w="1563" w:type="dxa"/>
            <w:vAlign w:val="center"/>
          </w:tcPr>
          <w:p w:rsidR="003668A4" w:rsidRPr="00E3612D" w:rsidRDefault="003668A4" w:rsidP="00585F35">
            <w:pPr>
              <w:jc w:val="center"/>
              <w:rPr>
                <w:lang w:val="kk-KZ"/>
              </w:rPr>
            </w:pPr>
            <w:r>
              <w:rPr>
                <w:lang w:val="kk-KZ"/>
              </w:rPr>
              <w:t>дана</w:t>
            </w:r>
          </w:p>
        </w:tc>
        <w:tc>
          <w:tcPr>
            <w:tcW w:w="1306" w:type="dxa"/>
            <w:vAlign w:val="center"/>
          </w:tcPr>
          <w:p w:rsidR="003668A4" w:rsidRPr="0094633F" w:rsidRDefault="003668A4" w:rsidP="00585F35">
            <w:pPr>
              <w:jc w:val="center"/>
            </w:pPr>
            <w:r w:rsidRPr="0094633F">
              <w:t>14</w:t>
            </w:r>
          </w:p>
        </w:tc>
      </w:tr>
      <w:tr w:rsidR="003668A4" w:rsidRPr="0094633F" w:rsidTr="00585F35">
        <w:tblPrEx>
          <w:tblCellMar>
            <w:top w:w="0" w:type="dxa"/>
            <w:bottom w:w="0" w:type="dxa"/>
          </w:tblCellMar>
        </w:tblPrEx>
        <w:trPr>
          <w:trHeight w:val="475"/>
        </w:trPr>
        <w:tc>
          <w:tcPr>
            <w:tcW w:w="6696" w:type="dxa"/>
            <w:vAlign w:val="center"/>
          </w:tcPr>
          <w:p w:rsidR="003668A4" w:rsidRPr="0094633F" w:rsidRDefault="003668A4" w:rsidP="00585F35">
            <w:r>
              <w:rPr>
                <w:lang w:val="kk-KZ"/>
              </w:rPr>
              <w:t xml:space="preserve">Аралығы 12м, салмағы 5т темір бетонды тіреуіш астындағы фермаларды орнаты </w:t>
            </w:r>
          </w:p>
        </w:tc>
        <w:tc>
          <w:tcPr>
            <w:tcW w:w="1563" w:type="dxa"/>
            <w:vAlign w:val="center"/>
          </w:tcPr>
          <w:p w:rsidR="003668A4" w:rsidRDefault="003668A4" w:rsidP="00585F35">
            <w:pPr>
              <w:jc w:val="center"/>
            </w:pPr>
            <w:r w:rsidRPr="00567A5F">
              <w:rPr>
                <w:lang w:val="kk-KZ"/>
              </w:rPr>
              <w:t>дана</w:t>
            </w:r>
          </w:p>
        </w:tc>
        <w:tc>
          <w:tcPr>
            <w:tcW w:w="1306" w:type="dxa"/>
            <w:vAlign w:val="center"/>
          </w:tcPr>
          <w:p w:rsidR="003668A4" w:rsidRPr="0094633F" w:rsidRDefault="003668A4" w:rsidP="00585F35">
            <w:pPr>
              <w:jc w:val="center"/>
            </w:pPr>
            <w:r w:rsidRPr="0094633F">
              <w:t>12</w:t>
            </w:r>
          </w:p>
        </w:tc>
      </w:tr>
      <w:tr w:rsidR="003668A4" w:rsidRPr="0094633F" w:rsidTr="00585F35">
        <w:tblPrEx>
          <w:tblCellMar>
            <w:top w:w="0" w:type="dxa"/>
            <w:bottom w:w="0" w:type="dxa"/>
          </w:tblCellMar>
        </w:tblPrEx>
        <w:trPr>
          <w:trHeight w:val="442"/>
        </w:trPr>
        <w:tc>
          <w:tcPr>
            <w:tcW w:w="6696" w:type="dxa"/>
            <w:vAlign w:val="center"/>
          </w:tcPr>
          <w:p w:rsidR="003668A4" w:rsidRPr="0094633F" w:rsidRDefault="003668A4" w:rsidP="00585F35">
            <w:r>
              <w:rPr>
                <w:lang w:val="kk-KZ"/>
              </w:rPr>
              <w:t xml:space="preserve">Аралығы </w:t>
            </w:r>
            <w:smartTag w:uri="urn:schemas-microsoft-com:office:smarttags" w:element="metricconverter">
              <w:smartTagPr>
                <w:attr w:name="ProductID" w:val="24 м"/>
              </w:smartTagPr>
              <w:r>
                <w:rPr>
                  <w:lang w:val="kk-KZ"/>
                </w:rPr>
                <w:t>24 м</w:t>
              </w:r>
            </w:smartTag>
            <w:r>
              <w:rPr>
                <w:lang w:val="kk-KZ"/>
              </w:rPr>
              <w:t>, салмағы 8 тонналық тіреуіш фермаларды орнату</w:t>
            </w:r>
          </w:p>
        </w:tc>
        <w:tc>
          <w:tcPr>
            <w:tcW w:w="1563" w:type="dxa"/>
            <w:vAlign w:val="center"/>
          </w:tcPr>
          <w:p w:rsidR="003668A4" w:rsidRDefault="003668A4" w:rsidP="00585F35">
            <w:pPr>
              <w:jc w:val="center"/>
            </w:pPr>
            <w:r w:rsidRPr="00567A5F">
              <w:rPr>
                <w:lang w:val="kk-KZ"/>
              </w:rPr>
              <w:t>дана</w:t>
            </w:r>
          </w:p>
        </w:tc>
        <w:tc>
          <w:tcPr>
            <w:tcW w:w="1306" w:type="dxa"/>
            <w:vAlign w:val="center"/>
          </w:tcPr>
          <w:p w:rsidR="003668A4" w:rsidRPr="0094633F" w:rsidRDefault="003668A4" w:rsidP="00585F35">
            <w:pPr>
              <w:jc w:val="center"/>
            </w:pPr>
            <w:r w:rsidRPr="0094633F">
              <w:t>13</w:t>
            </w:r>
          </w:p>
        </w:tc>
      </w:tr>
      <w:tr w:rsidR="003668A4" w:rsidRPr="0094633F" w:rsidTr="00585F35">
        <w:tblPrEx>
          <w:tblCellMar>
            <w:top w:w="0" w:type="dxa"/>
            <w:bottom w:w="0" w:type="dxa"/>
          </w:tblCellMar>
        </w:tblPrEx>
        <w:trPr>
          <w:trHeight w:val="244"/>
        </w:trPr>
        <w:tc>
          <w:tcPr>
            <w:tcW w:w="6696" w:type="dxa"/>
            <w:vAlign w:val="center"/>
          </w:tcPr>
          <w:p w:rsidR="003668A4" w:rsidRPr="0094633F" w:rsidRDefault="003668A4" w:rsidP="00585F35">
            <w:r>
              <w:rPr>
                <w:lang w:val="kk-KZ"/>
              </w:rPr>
              <w:t>Салмағы 1,5 т, ауланы 9м2 жабын тақатларын орнату</w:t>
            </w:r>
          </w:p>
        </w:tc>
        <w:tc>
          <w:tcPr>
            <w:tcW w:w="1563" w:type="dxa"/>
            <w:vAlign w:val="center"/>
          </w:tcPr>
          <w:p w:rsidR="003668A4" w:rsidRDefault="003668A4" w:rsidP="00585F35">
            <w:pPr>
              <w:jc w:val="center"/>
            </w:pPr>
            <w:r w:rsidRPr="00567A5F">
              <w:rPr>
                <w:lang w:val="kk-KZ"/>
              </w:rPr>
              <w:t>дана</w:t>
            </w:r>
          </w:p>
        </w:tc>
        <w:tc>
          <w:tcPr>
            <w:tcW w:w="1306" w:type="dxa"/>
            <w:vAlign w:val="center"/>
          </w:tcPr>
          <w:p w:rsidR="003668A4" w:rsidRPr="0094633F" w:rsidRDefault="003668A4" w:rsidP="00585F35">
            <w:pPr>
              <w:jc w:val="center"/>
            </w:pPr>
            <w:r w:rsidRPr="0094633F">
              <w:t>96</w:t>
            </w:r>
          </w:p>
        </w:tc>
      </w:tr>
      <w:tr w:rsidR="003668A4" w:rsidRPr="0094633F" w:rsidTr="00585F35">
        <w:tblPrEx>
          <w:tblCellMar>
            <w:top w:w="0" w:type="dxa"/>
            <w:bottom w:w="0" w:type="dxa"/>
          </w:tblCellMar>
        </w:tblPrEx>
        <w:trPr>
          <w:trHeight w:val="1276"/>
        </w:trPr>
        <w:tc>
          <w:tcPr>
            <w:tcW w:w="6696" w:type="dxa"/>
            <w:vAlign w:val="center"/>
          </w:tcPr>
          <w:p w:rsidR="003668A4" w:rsidRPr="0094633F" w:rsidRDefault="003668A4" w:rsidP="00585F35">
            <w:r>
              <w:rPr>
                <w:lang w:val="kk-KZ"/>
              </w:rPr>
              <w:t>Шатыр орнату</w:t>
            </w:r>
            <w:r w:rsidRPr="0094633F">
              <w:t>:</w:t>
            </w:r>
          </w:p>
          <w:p w:rsidR="003668A4" w:rsidRPr="0094633F" w:rsidRDefault="003668A4" w:rsidP="00585F35">
            <w:pPr>
              <w:rPr>
                <w:vertAlign w:val="superscript"/>
                <w:lang w:val="kk-KZ"/>
              </w:rPr>
            </w:pPr>
            <w:r>
              <w:rPr>
                <w:lang w:val="kk-KZ"/>
              </w:rPr>
              <w:t>Будан оқшаулау</w:t>
            </w:r>
            <w:r w:rsidRPr="0094633F">
              <w:t xml:space="preserve">– </w:t>
            </w:r>
            <w:r>
              <w:rPr>
                <w:lang w:val="kk-KZ"/>
              </w:rPr>
              <w:t xml:space="preserve">битумдық мастиктен жасалған </w:t>
            </w:r>
            <w:r w:rsidRPr="0094633F">
              <w:t xml:space="preserve">1 </w:t>
            </w:r>
            <w:r>
              <w:rPr>
                <w:lang w:val="kk-KZ"/>
              </w:rPr>
              <w:t>қабат</w:t>
            </w:r>
            <w:r w:rsidRPr="0094633F">
              <w:t xml:space="preserve"> рубероиде </w:t>
            </w:r>
            <w:r w:rsidRPr="0094633F">
              <w:rPr>
                <w:lang w:val="en-US"/>
              </w:rPr>
              <w:t>S</w:t>
            </w:r>
            <w:r w:rsidRPr="0094633F">
              <w:t>=</w:t>
            </w:r>
            <w:r w:rsidRPr="0094633F">
              <w:rPr>
                <w:lang w:val="kk-KZ"/>
              </w:rPr>
              <w:t>(</w:t>
            </w:r>
            <w:r w:rsidRPr="0094633F">
              <w:t>24х72)</w:t>
            </w:r>
            <w:r w:rsidRPr="0094633F">
              <w:rPr>
                <w:lang w:val="kk-KZ"/>
              </w:rPr>
              <w:t>м</w:t>
            </w:r>
            <w:r w:rsidRPr="0094633F">
              <w:rPr>
                <w:vertAlign w:val="superscript"/>
                <w:lang w:val="kk-KZ"/>
              </w:rPr>
              <w:t>2</w:t>
            </w:r>
          </w:p>
          <w:p w:rsidR="003668A4" w:rsidRPr="00020B09" w:rsidRDefault="003668A4" w:rsidP="00585F35">
            <w:pPr>
              <w:rPr>
                <w:lang w:val="kk-KZ"/>
              </w:rPr>
            </w:pPr>
            <w:r>
              <w:rPr>
                <w:lang w:val="kk-KZ"/>
              </w:rPr>
              <w:t>Жылуландыру</w:t>
            </w:r>
            <w:r w:rsidRPr="0094633F">
              <w:rPr>
                <w:lang w:val="kk-KZ"/>
              </w:rPr>
              <w:t xml:space="preserve"> – пенобетон </w:t>
            </w:r>
            <w:r w:rsidRPr="00020B09">
              <w:rPr>
                <w:lang w:val="kk-KZ"/>
              </w:rPr>
              <w:t>h=120 мм</w:t>
            </w:r>
          </w:p>
          <w:p w:rsidR="003668A4" w:rsidRPr="00020B09" w:rsidRDefault="003668A4" w:rsidP="00585F35">
            <w:pPr>
              <w:rPr>
                <w:lang w:val="kk-KZ"/>
              </w:rPr>
            </w:pPr>
            <w:r w:rsidRPr="00020B09">
              <w:rPr>
                <w:lang w:val="kk-KZ"/>
              </w:rPr>
              <w:t>Бетон</w:t>
            </w:r>
            <w:r>
              <w:rPr>
                <w:lang w:val="kk-KZ"/>
              </w:rPr>
              <w:t>ды жиыстырма</w:t>
            </w:r>
            <w:r w:rsidRPr="00020B09">
              <w:rPr>
                <w:lang w:val="kk-KZ"/>
              </w:rPr>
              <w:t xml:space="preserve"> h=50мм</w:t>
            </w:r>
          </w:p>
        </w:tc>
        <w:tc>
          <w:tcPr>
            <w:tcW w:w="1563" w:type="dxa"/>
          </w:tcPr>
          <w:p w:rsidR="003668A4" w:rsidRPr="00020B09" w:rsidRDefault="003668A4" w:rsidP="00585F35">
            <w:pPr>
              <w:jc w:val="center"/>
              <w:rPr>
                <w:lang w:val="kk-KZ"/>
              </w:rPr>
            </w:pPr>
          </w:p>
          <w:p w:rsidR="003668A4" w:rsidRPr="00020B09" w:rsidRDefault="003668A4" w:rsidP="00585F35">
            <w:pPr>
              <w:jc w:val="center"/>
              <w:rPr>
                <w:lang w:val="kk-KZ"/>
              </w:rPr>
            </w:pPr>
          </w:p>
          <w:p w:rsidR="003668A4" w:rsidRPr="0094633F" w:rsidRDefault="003668A4" w:rsidP="00585F35">
            <w:pPr>
              <w:jc w:val="center"/>
              <w:rPr>
                <w:vertAlign w:val="superscript"/>
              </w:rPr>
            </w:pPr>
            <w:r w:rsidRPr="0094633F">
              <w:t>м</w:t>
            </w:r>
            <w:proofErr w:type="gramStart"/>
            <w:r w:rsidRPr="0094633F">
              <w:rPr>
                <w:vertAlign w:val="superscript"/>
              </w:rPr>
              <w:t>2</w:t>
            </w:r>
            <w:proofErr w:type="gramEnd"/>
          </w:p>
          <w:p w:rsidR="003668A4" w:rsidRPr="0094633F" w:rsidRDefault="003668A4" w:rsidP="00585F35">
            <w:pPr>
              <w:jc w:val="center"/>
            </w:pPr>
            <w:r w:rsidRPr="0094633F">
              <w:t>м</w:t>
            </w:r>
            <w:r w:rsidRPr="0094633F">
              <w:rPr>
                <w:vertAlign w:val="superscript"/>
              </w:rPr>
              <w:t>3</w:t>
            </w:r>
          </w:p>
          <w:p w:rsidR="003668A4" w:rsidRPr="0094633F" w:rsidRDefault="003668A4" w:rsidP="00585F35">
            <w:pPr>
              <w:jc w:val="center"/>
            </w:pPr>
            <w:r w:rsidRPr="0094633F">
              <w:t>м</w:t>
            </w:r>
            <w:r w:rsidRPr="0094633F">
              <w:rPr>
                <w:vertAlign w:val="superscript"/>
              </w:rPr>
              <w:t>3</w:t>
            </w:r>
          </w:p>
        </w:tc>
        <w:tc>
          <w:tcPr>
            <w:tcW w:w="1306" w:type="dxa"/>
          </w:tcPr>
          <w:p w:rsidR="003668A4" w:rsidRPr="0094633F" w:rsidRDefault="003668A4" w:rsidP="00585F35">
            <w:pPr>
              <w:jc w:val="center"/>
            </w:pPr>
          </w:p>
          <w:p w:rsidR="003668A4" w:rsidRPr="0094633F" w:rsidRDefault="003668A4" w:rsidP="00585F35">
            <w:pPr>
              <w:jc w:val="center"/>
            </w:pPr>
          </w:p>
          <w:p w:rsidR="003668A4" w:rsidRPr="0094633F" w:rsidRDefault="003668A4" w:rsidP="00585F35">
            <w:pPr>
              <w:jc w:val="center"/>
            </w:pPr>
            <w:r w:rsidRPr="0094633F">
              <w:t>1728</w:t>
            </w:r>
          </w:p>
          <w:p w:rsidR="003668A4" w:rsidRPr="0094633F" w:rsidRDefault="003668A4" w:rsidP="00585F35">
            <w:pPr>
              <w:jc w:val="center"/>
            </w:pPr>
            <w:r w:rsidRPr="0094633F">
              <w:t>207</w:t>
            </w:r>
          </w:p>
          <w:p w:rsidR="003668A4" w:rsidRPr="0094633F" w:rsidRDefault="003668A4" w:rsidP="00585F35">
            <w:pPr>
              <w:jc w:val="center"/>
            </w:pPr>
            <w:r w:rsidRPr="0094633F">
              <w:t>86</w:t>
            </w:r>
          </w:p>
        </w:tc>
      </w:tr>
    </w:tbl>
    <w:p w:rsidR="003668A4" w:rsidRPr="0094633F" w:rsidRDefault="003668A4" w:rsidP="003668A4">
      <w:pPr>
        <w:ind w:firstLine="720"/>
        <w:jc w:val="both"/>
      </w:pPr>
    </w:p>
    <w:p w:rsidR="00391176" w:rsidRDefault="00391176">
      <w:bookmarkStart w:id="0" w:name="_GoBack"/>
      <w:bookmarkEnd w:id="0"/>
    </w:p>
    <w:sectPr w:rsidR="00391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A4"/>
    <w:rsid w:val="003668A4"/>
    <w:rsid w:val="00391176"/>
    <w:rsid w:val="00E6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2020-02-19T07:58:00Z</dcterms:created>
  <dcterms:modified xsi:type="dcterms:W3CDTF">2020-02-19T07:58:00Z</dcterms:modified>
</cp:coreProperties>
</file>